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«УТВЕРЖДАЮ»</w:t>
      </w:r>
    </w:p>
    <w:p>
      <w:pPr>
        <w:pStyle w:val="Normal.0"/>
        <w:widowControl w:val="0"/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ООО « Теннис  Фэмили Групп 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 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____________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Мурсалимовна В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01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ПОЛОЖЕНИЕ О ПРОВЕДЕНИИ ТУРНИРА ПО ПЛЯЖНОМУ ТЕННИСУ 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QUICKSAND RusCup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среди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юниоров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15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, 17, 19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лет 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и смешанных пар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до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15, 17,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kern w:val="1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25.03.2022 - 27.03.2022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Соревнования проводятся с целью популяризации и развития пляжного тенниса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повышения спортивного мастерства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пропаганды здорового образа жизни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Руководство соревнованиями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Общее руководство проведением соревнований осуществляет Оргкомитет соревнований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Директор турнира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Парамонычев Артём Сергеевич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(+79035906516)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Главный судья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ff"/>
          <w:rtl w:val="0"/>
          <w:lang w:val="ru-RU"/>
        </w:rPr>
        <w:t xml:space="preserve">Смирнов Сергей Александрович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ff"/>
          <w:rtl w:val="0"/>
          <w:lang w:val="ru-RU"/>
        </w:rPr>
        <w:t xml:space="preserve">телефон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 xml:space="preserve">: +79161564914 ,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en-US"/>
        </w:rPr>
        <w:t>mail: ser.smirnoff@gmail.com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Классификация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Соревнования по пляжному теннису Российского пляжного теннисного тура проводятся среди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юношей и девушек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в парных и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юношей и девушек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лет в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смешанном разряде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Сроки и место проведения турнира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Срок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25 -27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202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Место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Москва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маршала Жукова д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ЦПВС «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Лето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Сайт турни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ра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https://beachcenter.ru/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Участники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Система проведения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Соревнования проводятся в соответствии с Регламентом РПТТ и Правилами по дисциплине пляжный теннис по олимпийской системе с розыгрышем третьего места и дополнительного турнира для проигравших в первом туре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  Во всех разрядах все матчи играются из сетов с «тай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брейком» при счета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6:6,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 розыгрышем решающего «тай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брейка»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очков при счете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1:1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по сетам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Во всех матчах в геймах при счете «ровно» разыгрывается решающее очко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 зависимости от количества заявившихся пар возможно изменение системы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Программа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 составе соревнования турниры в мужском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женском и смешанном парном разряде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Категория турнира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III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Количество пар в парных разрядах –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пары</w:t>
      </w:r>
    </w:p>
    <w:p>
      <w:pPr>
        <w:pStyle w:val="Normal.0"/>
        <w:widowControl w:val="0"/>
        <w:suppressAutoHyphens w:val="1"/>
        <w:spacing w:after="0" w:line="240" w:lineRule="auto"/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Финансирование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  Расходы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связанные с оплатой проезда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питания и проживания спортсменов и тренеров соревнований несут командирующие организации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Награждение призеров призами осуществляется за счет стартовых взносов участников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Заявки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Заявки на участие по официальной форме подаются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202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года по электронной почте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"mailto:paramosha83@mail.ru"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paramosha83@mail.ru</w:t>
      </w:r>
      <w:r>
        <w:rPr/>
        <w:fldChar w:fldCharType="end" w:fldLock="0"/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Дополнительная информация по тел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: +7 (9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03)590-65-16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ДАННОЕ ПОЛОЖЕНИЕ ЯВЛЯЕТСЯ ОФИЦИАЛЬНЫМ ВЫЗОВОМ НА СОРЕВНОВАНИЯ</w:t>
      </w:r>
    </w:p>
    <w:sectPr>
      <w:headerReference w:type="default" r:id="rId4"/>
      <w:footerReference w:type="default" r:id="rId5"/>
      <w:pgSz w:w="11900" w:h="16840" w:orient="portrait"/>
      <w:pgMar w:top="709" w:right="977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