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«УТВЕРЖДАЮ»</w:t>
      </w:r>
    </w:p>
    <w:p>
      <w:pPr>
        <w:pStyle w:val="Normal.0"/>
        <w:widowControl w:val="0"/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ООО « Теннис  Фэмили Групп 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 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____________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Мурсалимовна В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__________202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ПОЛОЖЕНИЕ О ПРОВЕДЕНИИ ТУРНИРА ПО ПЛЯЖНОМУ ТЕННИСУ 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QUICKSAND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среди юниоров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15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,17,19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  и смешанных пар до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 15,17,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06.01. -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08.01.202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3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Соревнования проводятся с целью популяризации и развития пляжного тенниса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повышения спортивного мастерства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пропаганды здорового образа жизни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Руководство соревнованиями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Общее руководство проведением соревнований осуществляет Оргкомитет соревнований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Директор турнира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Парамонычев Артём Сергеевич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(+79035906516).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Главный судья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Филатов Всеволод Олегович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 xml:space="preserve"> , </w:t>
      </w:r>
      <w:r>
        <w:rPr>
          <w:rFonts w:ascii="Times New Roman" w:hAnsi="Times New Roman" w:hint="default"/>
          <w:kern w:val="1"/>
          <w:sz w:val="24"/>
          <w:szCs w:val="24"/>
          <w:shd w:val="clear" w:color="auto" w:fill="ffffff"/>
          <w:rtl w:val="0"/>
          <w:lang w:val="ru-RU"/>
        </w:rPr>
        <w:t xml:space="preserve">телефон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>: +79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>128004228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 xml:space="preserve"> ,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en-US"/>
        </w:rPr>
        <w:t>mail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rtl w:val="0"/>
          <w:lang w:val="en-US"/>
        </w:rPr>
        <w:t>v.filatov@whitewill.ru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Классификация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Соревнования по пляжному теннису Российского пляжного теннисного тура проводятся среди юношей и девушек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15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,17,19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лет в парных и юношей и девушек до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15,17,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лет в смешанном разряде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16"/>
          <w:szCs w:val="16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Сроки и место проведения турнира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Срок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6-8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января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202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3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года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Место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Москва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маршала Жукова д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2 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ЦПВС «Лето»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Сайт турнира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: https://beachcenter.ru/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Участники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Система проведения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Соревнования проводятся в соответствии с Регламентом РПТТ и Правилами по дисциплине пляжный теннис по олимпийской системе с розыгрышем третьего места и дополнительного турнира для проигравших в первом туре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Во всех разрядах все матчи играются из сетов с «тай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брейком» при счета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6:6,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 розыгрышем решающего «тай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брейка»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очков при счете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1:1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по сетам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Во всех матчах в геймах при счете «ровно» разыгрывается решающее очко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 зависимости от количества заявившихся пар возможно изменение системы проведения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Программа соревнований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В составе соревнования турниры в мужском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женском и смешанном парном разряде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Категория турнира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III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Количество пар в парных разрядах –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пары</w:t>
      </w:r>
    </w:p>
    <w:p>
      <w:pPr>
        <w:pStyle w:val="Normal.0"/>
        <w:widowControl w:val="0"/>
        <w:suppressAutoHyphens w:val="1"/>
        <w:spacing w:after="0" w:line="240" w:lineRule="auto"/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Финансирование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Расходы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связанные с оплатой проезда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питания и проживания спортсменов и тренеров соревнований несут командирующие организации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Награждение призеров призами осуществляется за счет стартовых взносов участников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kern w:val="1"/>
          <w:sz w:val="24"/>
          <w:szCs w:val="24"/>
          <w:rtl w:val="0"/>
          <w:lang w:val="ru-RU"/>
        </w:rPr>
        <w:t>Заявки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Заявки на участие по официальной форме подаются до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января 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202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 года по электронной поч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 xml:space="preserve">та 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v.filatov@whitewill.ru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Дополнительная информация по тел</w:t>
      </w:r>
      <w:r>
        <w:rPr>
          <w:rFonts w:ascii="Times New Roman" w:hAnsi="Times New Roman"/>
          <w:kern w:val="1"/>
          <w:sz w:val="24"/>
          <w:szCs w:val="24"/>
          <w:rtl w:val="0"/>
          <w:lang w:val="ru-RU"/>
        </w:rPr>
        <w:t>: +7 (903)590-65-16.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.0"/>
        <w:widowControl w:val="0"/>
        <w:suppressAutoHyphens w:val="1"/>
        <w:spacing w:after="0" w:line="240" w:lineRule="auto"/>
      </w:pPr>
      <w:r>
        <w:rPr>
          <w:rFonts w:ascii="Times New Roman" w:hAnsi="Times New Roman" w:hint="default"/>
          <w:kern w:val="1"/>
          <w:sz w:val="24"/>
          <w:szCs w:val="24"/>
          <w:rtl w:val="0"/>
          <w:lang w:val="ru-RU"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977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